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B3BD8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B3BD8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77F6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4D5EB5">
        <w:rPr>
          <w:rFonts w:ascii="Corbel" w:hAnsi="Corbel"/>
          <w:sz w:val="20"/>
          <w:szCs w:val="20"/>
        </w:rPr>
        <w:t>2024</w:t>
      </w:r>
      <w:r w:rsidR="00EB3BD8">
        <w:rPr>
          <w:rFonts w:ascii="Corbel" w:hAnsi="Corbel"/>
          <w:sz w:val="20"/>
          <w:szCs w:val="20"/>
        </w:rPr>
        <w:t>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B492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4929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C62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Mieczysław Goc, prof. UR,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D5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9B6D75"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</w:t>
      </w:r>
      <w:r w:rsidR="00ED3E84">
        <w:rPr>
          <w:rFonts w:ascii="Corbel" w:hAnsi="Corbel"/>
          <w:b w:val="0"/>
          <w:szCs w:val="24"/>
        </w:rPr>
        <w:t>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B4929" w:rsidRPr="009C54AE" w:rsidRDefault="00EB492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EB492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1F53EF">
              <w:rPr>
                <w:rFonts w:ascii="Corbel" w:hAnsi="Corbel"/>
                <w:b w:val="0"/>
                <w:smallCaps w:val="0"/>
                <w:szCs w:val="24"/>
              </w:rPr>
              <w:t xml:space="preserve">podstawowy 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>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FB057F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  <w:r w:rsidR="00FB057F">
              <w:rPr>
                <w:rFonts w:ascii="Corbel" w:hAnsi="Corbel"/>
                <w:sz w:val="24"/>
                <w:szCs w:val="24"/>
              </w:rPr>
              <w:t>. T</w:t>
            </w:r>
            <w:r w:rsidR="00FB057F" w:rsidRPr="009813B8">
              <w:rPr>
                <w:rFonts w:ascii="Corbel" w:hAnsi="Corbel"/>
                <w:sz w:val="24"/>
                <w:szCs w:val="24"/>
              </w:rPr>
              <w:t xml:space="preserve">aktyka </w:t>
            </w:r>
          </w:p>
          <w:p w:rsidR="0085747A" w:rsidRPr="009C54AE" w:rsidRDefault="00FB057F" w:rsidP="00FB05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oraz technika kryminalistyczna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  <w:r w:rsidR="00725FC7">
              <w:rPr>
                <w:rFonts w:ascii="Corbel" w:hAnsi="Corbel"/>
                <w:sz w:val="24"/>
                <w:szCs w:val="24"/>
              </w:rPr>
              <w:t xml:space="preserve"> i ich rodzaje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7B010D" w:rsidRPr="009C54AE" w:rsidTr="00923D7D">
        <w:tc>
          <w:tcPr>
            <w:tcW w:w="9639" w:type="dxa"/>
          </w:tcPr>
          <w:p w:rsidR="0059345B" w:rsidRDefault="0059345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Czynności na miejscu zdarzenia, oględziny osoby, miejsca, rzeczy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D939DB" w:rsidRPr="007B010D">
              <w:rPr>
                <w:rFonts w:ascii="Corbel" w:hAnsi="Corbel"/>
                <w:sz w:val="24"/>
                <w:szCs w:val="24"/>
              </w:rPr>
              <w:t>Czynności operacyjno-</w:t>
            </w:r>
          </w:p>
          <w:p w:rsidR="007B010D" w:rsidRPr="007B010D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rozpoznawcze</w:t>
            </w:r>
          </w:p>
        </w:tc>
      </w:tr>
      <w:tr w:rsidR="004A7359" w:rsidRPr="009C54AE" w:rsidTr="00923D7D">
        <w:tc>
          <w:tcPr>
            <w:tcW w:w="9639" w:type="dxa"/>
          </w:tcPr>
          <w:p w:rsidR="004A7359" w:rsidRPr="007B010D" w:rsidRDefault="004A735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Pobieranie materiału porównawczego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212567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EB4929" w:rsidRDefault="007B010D" w:rsidP="00EB4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EB49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4929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  <w:tr w:rsidR="001F53EF" w:rsidRPr="009C54AE" w:rsidTr="00923D7D">
        <w:tc>
          <w:tcPr>
            <w:tcW w:w="9639" w:type="dxa"/>
          </w:tcPr>
          <w:p w:rsidR="001F53EF" w:rsidRPr="007B010D" w:rsidRDefault="001F53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Wykorzystanie kryminalistycznych baz danych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 prezentacją multimedialną,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34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341CDF">
              <w:rPr>
                <w:rFonts w:ascii="Corbel" w:hAnsi="Corbel"/>
                <w:sz w:val="24"/>
                <w:szCs w:val="24"/>
              </w:rPr>
              <w:t xml:space="preserve">zaliczeniu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41CD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B4929">
              <w:rPr>
                <w:rFonts w:ascii="Corbel" w:hAnsi="Corbel"/>
                <w:sz w:val="24"/>
                <w:szCs w:val="24"/>
              </w:rPr>
              <w:t>49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EB49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1C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B4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B4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49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B4929" w:rsidRPr="00EB4929" w:rsidRDefault="00EB4929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49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B4929" w:rsidRPr="00EB4929" w:rsidRDefault="00EB4929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492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6C0" w:rsidRDefault="00C736C0" w:rsidP="00C16ABF">
      <w:pPr>
        <w:spacing w:after="0" w:line="240" w:lineRule="auto"/>
      </w:pPr>
      <w:r>
        <w:separator/>
      </w:r>
    </w:p>
  </w:endnote>
  <w:endnote w:type="continuationSeparator" w:id="0">
    <w:p w:rsidR="00C736C0" w:rsidRDefault="00C736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6C0" w:rsidRDefault="00C736C0" w:rsidP="00C16ABF">
      <w:pPr>
        <w:spacing w:after="0" w:line="240" w:lineRule="auto"/>
      </w:pPr>
      <w:r>
        <w:separator/>
      </w:r>
    </w:p>
  </w:footnote>
  <w:footnote w:type="continuationSeparator" w:id="0">
    <w:p w:rsidR="00C736C0" w:rsidRDefault="00C736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70ED6"/>
    <w:rsid w:val="000742DC"/>
    <w:rsid w:val="00084C12"/>
    <w:rsid w:val="0009462C"/>
    <w:rsid w:val="00094B12"/>
    <w:rsid w:val="00096C46"/>
    <w:rsid w:val="0009796F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B54"/>
    <w:rsid w:val="001E0209"/>
    <w:rsid w:val="001E72D7"/>
    <w:rsid w:val="001F2CA2"/>
    <w:rsid w:val="001F53EF"/>
    <w:rsid w:val="00212567"/>
    <w:rsid w:val="002144C0"/>
    <w:rsid w:val="0022477D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15BD4"/>
    <w:rsid w:val="003343CF"/>
    <w:rsid w:val="00341CDF"/>
    <w:rsid w:val="00346FE9"/>
    <w:rsid w:val="0034759A"/>
    <w:rsid w:val="003503F6"/>
    <w:rsid w:val="00350C89"/>
    <w:rsid w:val="003530DD"/>
    <w:rsid w:val="003629E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59"/>
    <w:rsid w:val="004C121F"/>
    <w:rsid w:val="004D5282"/>
    <w:rsid w:val="004D5EB5"/>
    <w:rsid w:val="004F1551"/>
    <w:rsid w:val="004F55A3"/>
    <w:rsid w:val="0050496F"/>
    <w:rsid w:val="00513B6F"/>
    <w:rsid w:val="00517C63"/>
    <w:rsid w:val="00521BA1"/>
    <w:rsid w:val="005363C4"/>
    <w:rsid w:val="00536BDE"/>
    <w:rsid w:val="00543ACC"/>
    <w:rsid w:val="0056696D"/>
    <w:rsid w:val="0058467D"/>
    <w:rsid w:val="0059345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25FC7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1761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019ED"/>
    <w:rsid w:val="0081554D"/>
    <w:rsid w:val="0081707E"/>
    <w:rsid w:val="008449B3"/>
    <w:rsid w:val="008552A2"/>
    <w:rsid w:val="0085747A"/>
    <w:rsid w:val="00884922"/>
    <w:rsid w:val="00885F64"/>
    <w:rsid w:val="008917F9"/>
    <w:rsid w:val="008948D6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0045"/>
    <w:rsid w:val="00997F14"/>
    <w:rsid w:val="009A6013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E7266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3BF6"/>
    <w:rsid w:val="00A53FA5"/>
    <w:rsid w:val="00A54817"/>
    <w:rsid w:val="00A601C8"/>
    <w:rsid w:val="00A60799"/>
    <w:rsid w:val="00A77F6A"/>
    <w:rsid w:val="00A84C85"/>
    <w:rsid w:val="00A97DE1"/>
    <w:rsid w:val="00AA1557"/>
    <w:rsid w:val="00AB053C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B06142"/>
    <w:rsid w:val="00B135B1"/>
    <w:rsid w:val="00B3130B"/>
    <w:rsid w:val="00B3738D"/>
    <w:rsid w:val="00B40ADB"/>
    <w:rsid w:val="00B43B77"/>
    <w:rsid w:val="00B43E80"/>
    <w:rsid w:val="00B44C0E"/>
    <w:rsid w:val="00B46526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36C0"/>
    <w:rsid w:val="00C766DF"/>
    <w:rsid w:val="00C87A9A"/>
    <w:rsid w:val="00C94B98"/>
    <w:rsid w:val="00CA2B96"/>
    <w:rsid w:val="00CA5089"/>
    <w:rsid w:val="00CA56E5"/>
    <w:rsid w:val="00CC621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451A6"/>
    <w:rsid w:val="00D552B2"/>
    <w:rsid w:val="00D608D1"/>
    <w:rsid w:val="00D74119"/>
    <w:rsid w:val="00D8075B"/>
    <w:rsid w:val="00D8678B"/>
    <w:rsid w:val="00D8757E"/>
    <w:rsid w:val="00D932FF"/>
    <w:rsid w:val="00D939DB"/>
    <w:rsid w:val="00DA2114"/>
    <w:rsid w:val="00DC283B"/>
    <w:rsid w:val="00DD3665"/>
    <w:rsid w:val="00DD4C1A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B3BD8"/>
    <w:rsid w:val="00EB4929"/>
    <w:rsid w:val="00EC2A2C"/>
    <w:rsid w:val="00EC4899"/>
    <w:rsid w:val="00ED03AB"/>
    <w:rsid w:val="00ED32D2"/>
    <w:rsid w:val="00ED3E84"/>
    <w:rsid w:val="00EE32DE"/>
    <w:rsid w:val="00EE5457"/>
    <w:rsid w:val="00F070AB"/>
    <w:rsid w:val="00F17567"/>
    <w:rsid w:val="00F27A7B"/>
    <w:rsid w:val="00F32A13"/>
    <w:rsid w:val="00F526AF"/>
    <w:rsid w:val="00F617C3"/>
    <w:rsid w:val="00F7066B"/>
    <w:rsid w:val="00F83B28"/>
    <w:rsid w:val="00F956D6"/>
    <w:rsid w:val="00F974DA"/>
    <w:rsid w:val="00FA46E5"/>
    <w:rsid w:val="00FB057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3C1C"/>
  <w15:docId w15:val="{C3F7559C-6151-4620-A443-60618EC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5FB382-3683-4FD1-A551-337F418F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2022-01-21T11:30:00Z</dcterms:created>
  <dcterms:modified xsi:type="dcterms:W3CDTF">2022-11-29T10:29:00Z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